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2017年度大厂回族自治县夏垫镇人民政府部门决算公开</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按照《</w:t>
      </w:r>
      <w:r>
        <w:rPr>
          <w:rFonts w:hint="eastAsia" w:ascii="仿宋" w:hAnsi="仿宋" w:eastAsia="仿宋" w:cs="Times New Roman"/>
          <w:sz w:val="32"/>
          <w:szCs w:val="32"/>
        </w:rPr>
        <w:t>中华人民共和国</w:t>
      </w:r>
      <w:r>
        <w:rPr>
          <w:rFonts w:ascii="仿宋" w:hAnsi="仿宋" w:eastAsia="仿宋" w:cs="Times New Roman"/>
          <w:sz w:val="32"/>
          <w:szCs w:val="32"/>
        </w:rPr>
        <w:t>预算法》、《河北省财政厅关于印发&lt;河北省预决算公开操作规程实施细则&gt;的通知》（冀</w:t>
      </w:r>
      <w:bookmarkStart w:id="1" w:name="_GoBack"/>
      <w:bookmarkEnd w:id="1"/>
      <w:r>
        <w:rPr>
          <w:rFonts w:ascii="仿宋" w:hAnsi="仿宋" w:eastAsia="仿宋" w:cs="Times New Roman"/>
          <w:sz w:val="32"/>
          <w:szCs w:val="32"/>
        </w:rPr>
        <w:t>财预﹝2016﹞129号）等规定，现将201</w:t>
      </w:r>
      <w:r>
        <w:rPr>
          <w:rFonts w:hint="eastAsia" w:ascii="仿宋" w:hAnsi="仿宋" w:eastAsia="仿宋" w:cs="Times New Roman"/>
          <w:sz w:val="32"/>
          <w:szCs w:val="32"/>
        </w:rPr>
        <w:t>7</w:t>
      </w:r>
      <w:r>
        <w:rPr>
          <w:rFonts w:ascii="仿宋" w:hAnsi="仿宋" w:eastAsia="仿宋" w:cs="Times New Roman"/>
          <w:sz w:val="32"/>
          <w:szCs w:val="32"/>
        </w:rPr>
        <w:t>年部门决算公开如下：</w:t>
      </w:r>
    </w:p>
    <w:p>
      <w:pPr>
        <w:pStyle w:val="5"/>
        <w:shd w:val="clear" w:color="auto" w:fill="FFFFFF"/>
        <w:spacing w:before="0" w:beforeAutospacing="0" w:after="0" w:afterAutospacing="0" w:line="384" w:lineRule="atLeast"/>
        <w:ind w:firstLine="580"/>
        <w:jc w:val="center"/>
        <w:rPr>
          <w:rFonts w:ascii="黑体" w:hAnsi="黑体" w:eastAsia="黑体" w:cs="黑体"/>
          <w:sz w:val="32"/>
          <w:szCs w:val="32"/>
        </w:rPr>
      </w:pPr>
      <w:r>
        <w:rPr>
          <w:rFonts w:hint="eastAsia" w:ascii="黑体" w:hAnsi="黑体" w:eastAsia="黑体" w:cs="黑体"/>
          <w:sz w:val="32"/>
          <w:szCs w:val="32"/>
        </w:rPr>
        <w:t>第一部分 部门概况</w:t>
      </w:r>
    </w:p>
    <w:p>
      <w:pPr>
        <w:spacing w:line="560" w:lineRule="exact"/>
        <w:ind w:firstLine="643" w:firstLineChars="200"/>
        <w:jc w:val="left"/>
        <w:rPr>
          <w:rFonts w:ascii="楷体" w:hAnsi="楷体" w:eastAsia="楷体" w:cs="Times New Roman"/>
          <w:b/>
          <w:sz w:val="32"/>
          <w:szCs w:val="32"/>
        </w:rPr>
      </w:pPr>
      <w:r>
        <w:rPr>
          <w:rFonts w:hint="eastAsia" w:ascii="黑体" w:hAnsi="黑体" w:eastAsia="黑体" w:cs="Times New Roman"/>
          <w:b/>
          <w:sz w:val="32"/>
          <w:szCs w:val="32"/>
        </w:rPr>
        <w:t>一</w:t>
      </w:r>
      <w:r>
        <w:rPr>
          <w:rFonts w:hint="eastAsia" w:ascii="楷体" w:hAnsi="楷体" w:eastAsia="楷体" w:cs="Times New Roman"/>
          <w:b/>
          <w:sz w:val="32"/>
          <w:szCs w:val="32"/>
        </w:rPr>
        <w:t>、</w:t>
      </w:r>
      <w:r>
        <w:rPr>
          <w:rFonts w:hint="eastAsia" w:ascii="黑体" w:hAnsi="黑体" w:eastAsia="黑体" w:cs="Times New Roman"/>
          <w:b/>
          <w:sz w:val="32"/>
          <w:szCs w:val="32"/>
        </w:rPr>
        <w:t>部门</w:t>
      </w:r>
      <w:r>
        <w:rPr>
          <w:rFonts w:ascii="黑体" w:hAnsi="黑体" w:eastAsia="黑体" w:cs="Times New Roman"/>
          <w:b/>
          <w:sz w:val="32"/>
          <w:szCs w:val="32"/>
        </w:rPr>
        <w:t>职责：</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28"/>
          <w:szCs w:val="28"/>
        </w:rPr>
        <w:t xml:space="preserve">    </w:t>
      </w:r>
      <w:r>
        <w:rPr>
          <w:rFonts w:hint="eastAsia" w:ascii="仿宋" w:hAnsi="仿宋" w:eastAsia="仿宋" w:cs="Times New Roman"/>
          <w:sz w:val="32"/>
          <w:szCs w:val="32"/>
        </w:rPr>
        <w:t>大厂回族自治县夏垫</w:t>
      </w:r>
      <w:r>
        <w:rPr>
          <w:rFonts w:ascii="仿宋" w:hAnsi="仿宋" w:eastAsia="仿宋" w:cs="Times New Roman"/>
          <w:sz w:val="32"/>
          <w:szCs w:val="32"/>
        </w:rPr>
        <w:t>镇</w:t>
      </w:r>
      <w:r>
        <w:rPr>
          <w:rFonts w:hint="eastAsia" w:ascii="仿宋" w:hAnsi="仿宋" w:eastAsia="仿宋" w:cs="Times New Roman"/>
          <w:sz w:val="32"/>
          <w:szCs w:val="32"/>
        </w:rPr>
        <w:t>人民</w:t>
      </w:r>
      <w:r>
        <w:rPr>
          <w:rFonts w:ascii="仿宋" w:hAnsi="仿宋" w:eastAsia="仿宋" w:cs="Times New Roman"/>
          <w:sz w:val="32"/>
          <w:szCs w:val="32"/>
        </w:rPr>
        <w:t>政府的主要职能是：服务园区项目建设和县重点工程建设，统一领导镇域内经济、财政、民政、土地、计划生育工作，协助抓好教科文卫及体育事业；抓好党在农村各项方针政策的落实，加强农村基层组织建设和民主政治建设，推进依法行政和规范管理；加强对农村各项工作的领导，全面发展农村经济，搞好农村区域经济规划和指导，推进农村经济和社会的全面进步</w:t>
      </w:r>
      <w:r>
        <w:rPr>
          <w:rFonts w:hint="eastAsia" w:ascii="仿宋" w:hAnsi="仿宋" w:eastAsia="仿宋" w:cs="Times New Roman"/>
          <w:sz w:val="32"/>
          <w:szCs w:val="32"/>
        </w:rPr>
        <w:t>;</w:t>
      </w:r>
      <w:r>
        <w:rPr>
          <w:rFonts w:ascii="仿宋" w:hAnsi="仿宋" w:eastAsia="仿宋" w:cs="Times New Roman"/>
          <w:sz w:val="32"/>
          <w:szCs w:val="32"/>
        </w:rPr>
        <w:t>大厂回族自治县夏垫镇财政所主要职</w:t>
      </w:r>
      <w:r>
        <w:rPr>
          <w:rFonts w:hint="eastAsia" w:ascii="仿宋" w:hAnsi="仿宋" w:eastAsia="仿宋" w:cs="Times New Roman"/>
          <w:sz w:val="32"/>
          <w:szCs w:val="32"/>
        </w:rPr>
        <w:t>能是</w:t>
      </w:r>
      <w:r>
        <w:rPr>
          <w:rFonts w:ascii="仿宋" w:hAnsi="仿宋" w:eastAsia="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r>
        <w:rPr>
          <w:rFonts w:hint="eastAsia" w:ascii="仿宋" w:hAnsi="仿宋" w:eastAsia="仿宋" w:cs="Times New Roman"/>
          <w:sz w:val="32"/>
          <w:szCs w:val="32"/>
        </w:rPr>
        <w:t>；</w:t>
      </w:r>
      <w:r>
        <w:rPr>
          <w:rFonts w:ascii="仿宋" w:hAnsi="仿宋" w:eastAsia="仿宋" w:cs="Times New Roman"/>
          <w:sz w:val="32"/>
          <w:szCs w:val="32"/>
        </w:rPr>
        <w:t>大厂回族自治县夏垫镇水利站主要职</w:t>
      </w:r>
      <w:r>
        <w:rPr>
          <w:rFonts w:hint="eastAsia" w:ascii="仿宋" w:hAnsi="仿宋" w:eastAsia="仿宋" w:cs="Times New Roman"/>
          <w:sz w:val="32"/>
          <w:szCs w:val="32"/>
        </w:rPr>
        <w:t>能是</w:t>
      </w:r>
      <w:r>
        <w:rPr>
          <w:rFonts w:ascii="仿宋" w:hAnsi="仿宋" w:eastAsia="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r>
        <w:rPr>
          <w:rFonts w:hint="eastAsia" w:ascii="仿宋" w:hAnsi="仿宋" w:eastAsia="仿宋" w:cs="Times New Roman"/>
          <w:sz w:val="32"/>
          <w:szCs w:val="32"/>
        </w:rPr>
        <w:t>；</w:t>
      </w:r>
      <w:r>
        <w:rPr>
          <w:rFonts w:ascii="仿宋" w:hAnsi="仿宋" w:eastAsia="仿宋" w:cs="Times New Roman"/>
          <w:sz w:val="32"/>
          <w:szCs w:val="32"/>
        </w:rPr>
        <w:t>大厂回族自治县夏垫镇文化广播服务中心主要职</w:t>
      </w:r>
      <w:r>
        <w:rPr>
          <w:rFonts w:hint="eastAsia" w:ascii="仿宋" w:hAnsi="仿宋" w:eastAsia="仿宋" w:cs="Times New Roman"/>
          <w:sz w:val="32"/>
          <w:szCs w:val="32"/>
        </w:rPr>
        <w:t>能，</w:t>
      </w:r>
      <w:r>
        <w:rPr>
          <w:rFonts w:ascii="仿宋" w:hAnsi="仿宋" w:eastAsia="仿宋" w:cs="Times New Roman"/>
          <w:sz w:val="32"/>
          <w:szCs w:val="32"/>
        </w:rPr>
        <w:t>全面贯彻党的路线、方针、政策，遵守国家的法律法规，把握好舆论导向，搞好地方文化宣传，制订本镇文化广播事业的发展规划，负责对群众进行爱国主义宣传教育，组织开展群众性文娱体育活动。大厂回族自治县夏垫镇计划生育办公室主要职</w:t>
      </w:r>
      <w:r>
        <w:rPr>
          <w:rFonts w:hint="eastAsia" w:ascii="仿宋" w:hAnsi="仿宋" w:eastAsia="仿宋" w:cs="Times New Roman"/>
          <w:sz w:val="32"/>
          <w:szCs w:val="32"/>
        </w:rPr>
        <w:t>能，</w:t>
      </w:r>
      <w:r>
        <w:rPr>
          <w:rFonts w:ascii="仿宋" w:hAnsi="仿宋" w:eastAsia="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r>
        <w:rPr>
          <w:rFonts w:hint="eastAsia" w:ascii="仿宋" w:hAnsi="仿宋" w:eastAsia="仿宋" w:cs="Times New Roman"/>
          <w:sz w:val="32"/>
          <w:szCs w:val="32"/>
        </w:rPr>
        <w:t>；</w:t>
      </w:r>
      <w:r>
        <w:rPr>
          <w:rFonts w:ascii="仿宋" w:hAnsi="仿宋" w:eastAsia="仿宋" w:cs="Times New Roman"/>
          <w:sz w:val="32"/>
          <w:szCs w:val="32"/>
        </w:rPr>
        <w:t>大厂回族自治县夏垫镇农技站主要职</w:t>
      </w:r>
      <w:r>
        <w:rPr>
          <w:rFonts w:hint="eastAsia" w:ascii="仿宋" w:hAnsi="仿宋" w:eastAsia="仿宋" w:cs="Times New Roman"/>
          <w:sz w:val="32"/>
          <w:szCs w:val="32"/>
        </w:rPr>
        <w:t>能，</w:t>
      </w:r>
      <w:r>
        <w:rPr>
          <w:rFonts w:ascii="仿宋" w:hAnsi="仿宋" w:eastAsia="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r>
        <w:rPr>
          <w:rFonts w:hint="eastAsia" w:ascii="仿宋" w:hAnsi="仿宋" w:eastAsia="仿宋" w:cs="Times New Roman"/>
          <w:sz w:val="32"/>
          <w:szCs w:val="32"/>
        </w:rPr>
        <w:t>；</w:t>
      </w:r>
      <w:r>
        <w:rPr>
          <w:rFonts w:ascii="仿宋" w:hAnsi="仿宋" w:eastAsia="仿宋" w:cs="Times New Roman"/>
          <w:sz w:val="32"/>
          <w:szCs w:val="32"/>
        </w:rPr>
        <w:t>大厂回族自治县夏垫镇纪委主要职</w:t>
      </w:r>
      <w:r>
        <w:rPr>
          <w:rFonts w:hint="eastAsia" w:ascii="仿宋" w:hAnsi="仿宋" w:eastAsia="仿宋" w:cs="Times New Roman"/>
          <w:sz w:val="32"/>
          <w:szCs w:val="32"/>
        </w:rPr>
        <w:t>能，</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ascii="仿宋" w:hAnsi="仿宋" w:eastAsia="仿宋" w:cs="Times New Roman"/>
          <w:sz w:val="32"/>
          <w:szCs w:val="32"/>
        </w:rPr>
        <w:t>负责镇党的纪律检查和行政监察工作；协助镇党委、政府加强党风廉政建设和组织协调反腐败工作，开展党员干部廉政教育，推进农村廉政文化建设，检查、督促党的路线、方针、政策落实到基层；监督镇党委、政府领导班子及成员维护党的政治纪律，贯彻执行民主集中制，贯彻落实党风廉政建设责任制和廉政勤政情况；按照干部管理权限，检查处理本镇范围内党的组织、党员干部和监察对象违反党纪政纪的案件；受理对党的组织、党员干部和监察对象违反党纪政纪行为的检举以及党员的控告、申诉，维护党员的权利；加强对镇“三个中心”建设和管理，确保中心运行便民、务实、高效、廉洁；加强对农村村务监督委员会和农村便民服务站的管理，提高服务群众的能力和水平；完成县纪委、监察局交给的其他工作任务。</w:t>
      </w:r>
    </w:p>
    <w:p>
      <w:pPr>
        <w:widowControl/>
        <w:shd w:val="clear" w:color="auto" w:fill="FFFFFF"/>
        <w:spacing w:line="540" w:lineRule="atLeast"/>
        <w:ind w:firstLine="707" w:firstLineChars="221"/>
        <w:jc w:val="left"/>
        <w:rPr>
          <w:rFonts w:ascii="仿宋" w:hAnsi="仿宋" w:eastAsia="仿宋" w:cs="宋体"/>
          <w:color w:val="484747"/>
          <w:kern w:val="0"/>
          <w:sz w:val="28"/>
          <w:szCs w:val="28"/>
        </w:rPr>
      </w:pPr>
      <w:r>
        <w:rPr>
          <w:rFonts w:ascii="Calibri" w:hAnsi="Calibri" w:eastAsia="黑体" w:cs="Times New Roman"/>
          <w:sz w:val="32"/>
          <w:szCs w:val="32"/>
        </w:rPr>
        <w:t>二、部门决算</w:t>
      </w:r>
      <w:r>
        <w:rPr>
          <w:rFonts w:hint="eastAsia" w:ascii="Calibri" w:hAnsi="Calibri" w:eastAsia="黑体" w:cs="Times New Roman"/>
          <w:sz w:val="32"/>
          <w:szCs w:val="32"/>
        </w:rPr>
        <w:t>单位构成</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2017年度，纳入本部门决算汇编范围的独立核算单位共1个。</w:t>
      </w:r>
    </w:p>
    <w:p>
      <w:pPr>
        <w:ind w:firstLine="2880" w:firstLineChars="900"/>
        <w:outlineLvl w:val="0"/>
        <w:rPr>
          <w:rFonts w:ascii="黑体" w:hAnsi="黑体" w:eastAsia="黑体" w:cs="Times New Roman"/>
          <w:sz w:val="32"/>
          <w:szCs w:val="32"/>
        </w:rPr>
      </w:pPr>
      <w:r>
        <w:rPr>
          <w:rFonts w:ascii="黑体" w:hAnsi="黑体" w:eastAsia="黑体" w:cs="Times New Roman"/>
          <w:sz w:val="32"/>
          <w:szCs w:val="32"/>
        </w:rPr>
        <w:t>部门</w:t>
      </w:r>
      <w:r>
        <w:rPr>
          <w:rFonts w:hint="eastAsia" w:ascii="黑体" w:hAnsi="黑体" w:eastAsia="黑体" w:cs="Times New Roman"/>
          <w:sz w:val="32"/>
          <w:szCs w:val="32"/>
        </w:rPr>
        <w:t>机构设置情况</w:t>
      </w:r>
    </w:p>
    <w:tbl>
      <w:tblPr>
        <w:tblStyle w:val="6"/>
        <w:tblW w:w="9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8"/>
        <w:gridCol w:w="1470"/>
        <w:gridCol w:w="1413"/>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4208"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单位名称</w:t>
            </w:r>
          </w:p>
        </w:tc>
        <w:tc>
          <w:tcPr>
            <w:tcW w:w="1470"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单位性质</w:t>
            </w:r>
          </w:p>
        </w:tc>
        <w:tc>
          <w:tcPr>
            <w:tcW w:w="1413"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单位规格</w:t>
            </w:r>
          </w:p>
        </w:tc>
        <w:tc>
          <w:tcPr>
            <w:tcW w:w="2362"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4208"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470"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413"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2362"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4208"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大厂回族自治县夏垫镇人民政府</w:t>
            </w:r>
          </w:p>
        </w:tc>
        <w:tc>
          <w:tcPr>
            <w:tcW w:w="1470"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行政</w:t>
            </w:r>
          </w:p>
        </w:tc>
        <w:tc>
          <w:tcPr>
            <w:tcW w:w="1413"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正科级</w:t>
            </w:r>
          </w:p>
        </w:tc>
        <w:tc>
          <w:tcPr>
            <w:tcW w:w="2362"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财政拨款</w:t>
            </w:r>
          </w:p>
        </w:tc>
      </w:tr>
    </w:tbl>
    <w:p>
      <w:pPr>
        <w:widowControl/>
        <w:shd w:val="clear" w:color="auto" w:fill="FFFFFF"/>
        <w:spacing w:line="540" w:lineRule="atLeast"/>
        <w:jc w:val="left"/>
        <w:rPr>
          <w:rFonts w:ascii="仿宋" w:hAnsi="仿宋" w:eastAsia="仿宋" w:cs="Times New Roman"/>
          <w:kern w:val="0"/>
          <w:sz w:val="32"/>
          <w:szCs w:val="32"/>
        </w:rPr>
      </w:pPr>
      <w:r>
        <w:rPr>
          <w:rFonts w:hint="eastAsia" w:ascii="仿宋" w:hAnsi="仿宋" w:eastAsia="仿宋" w:cs="Times New Roman"/>
          <w:kern w:val="0"/>
          <w:sz w:val="32"/>
          <w:szCs w:val="32"/>
        </w:rPr>
        <w:t>我单位无下属单位</w:t>
      </w:r>
    </w:p>
    <w:p>
      <w:pPr>
        <w:widowControl/>
        <w:shd w:val="clear" w:color="auto" w:fill="FFFFFF"/>
        <w:spacing w:line="540" w:lineRule="atLeast"/>
        <w:ind w:firstLine="709"/>
        <w:jc w:val="left"/>
        <w:rPr>
          <w:rFonts w:ascii="Calibri" w:hAnsi="Calibri" w:eastAsia="黑体" w:cs="Times New Roman"/>
          <w:sz w:val="32"/>
          <w:szCs w:val="32"/>
        </w:rPr>
      </w:pPr>
      <w:r>
        <w:rPr>
          <w:rFonts w:hint="eastAsia" w:ascii="Calibri" w:hAnsi="Calibri" w:eastAsia="黑体" w:cs="Times New Roman"/>
          <w:sz w:val="32"/>
          <w:szCs w:val="32"/>
        </w:rPr>
        <w:t xml:space="preserve">       第二部分    </w:t>
      </w:r>
      <w:r>
        <w:rPr>
          <w:rFonts w:hint="eastAsia" w:ascii="黑体" w:hAnsi="黑体" w:eastAsia="黑体" w:cs="黑体"/>
          <w:sz w:val="32"/>
          <w:szCs w:val="32"/>
        </w:rPr>
        <w:t>2017年度部门决算报表</w:t>
      </w:r>
    </w:p>
    <w:p>
      <w:pPr>
        <w:widowControl/>
        <w:shd w:val="clear" w:color="auto" w:fill="FFFFFF"/>
        <w:spacing w:line="540" w:lineRule="atLeast"/>
        <w:ind w:firstLine="709"/>
        <w:jc w:val="left"/>
        <w:rPr>
          <w:rFonts w:ascii="Calibri" w:hAnsi="Calibri" w:eastAsia="黑体" w:cs="Times New Roman"/>
          <w:sz w:val="32"/>
          <w:szCs w:val="32"/>
        </w:rPr>
      </w:pPr>
      <w:r>
        <w:rPr>
          <w:rFonts w:hint="eastAsia" w:ascii="Calibri" w:hAnsi="Calibri" w:eastAsia="黑体" w:cs="Times New Roman"/>
          <w:sz w:val="32"/>
          <w:szCs w:val="32"/>
        </w:rPr>
        <w:t xml:space="preserve">       第三部分    2017年部门决算情况说明</w:t>
      </w:r>
    </w:p>
    <w:p>
      <w:pPr>
        <w:widowControl/>
        <w:shd w:val="clear" w:color="auto" w:fill="FFFFFF"/>
        <w:spacing w:line="540" w:lineRule="atLeast"/>
        <w:ind w:firstLine="709"/>
        <w:jc w:val="left"/>
        <w:rPr>
          <w:rFonts w:ascii="仿宋" w:hAnsi="仿宋" w:eastAsia="仿宋" w:cs="Times New Roman"/>
          <w:kern w:val="0"/>
          <w:sz w:val="32"/>
          <w:szCs w:val="32"/>
        </w:rPr>
      </w:pPr>
      <w:r>
        <w:rPr>
          <w:rFonts w:hint="eastAsia" w:ascii="仿宋" w:hAnsi="仿宋" w:eastAsia="仿宋" w:cs="Times New Roman"/>
          <w:kern w:val="0"/>
          <w:sz w:val="32"/>
          <w:szCs w:val="32"/>
        </w:rPr>
        <w:t>我部门全部收支包含在部门决算中。</w:t>
      </w:r>
    </w:p>
    <w:p>
      <w:pPr>
        <w:widowControl/>
        <w:shd w:val="clear" w:color="auto" w:fill="FFFFFF"/>
        <w:spacing w:line="540" w:lineRule="atLeast"/>
        <w:ind w:firstLine="624"/>
        <w:jc w:val="left"/>
        <w:rPr>
          <w:rFonts w:ascii="黑体" w:hAnsi="黑体" w:eastAsia="黑体" w:cs="Times New Roman"/>
          <w:sz w:val="32"/>
          <w:szCs w:val="32"/>
        </w:rPr>
      </w:pPr>
      <w:r>
        <w:rPr>
          <w:rFonts w:hint="eastAsia" w:ascii="黑体" w:hAnsi="黑体" w:eastAsia="黑体" w:cs="Times New Roman"/>
          <w:sz w:val="32"/>
          <w:szCs w:val="32"/>
        </w:rPr>
        <w:t>一</w:t>
      </w:r>
      <w:r>
        <w:rPr>
          <w:rFonts w:hint="eastAsia" w:ascii="黑体" w:hAnsi="黑体" w:eastAsia="黑体" w:cs="Times New Roman"/>
          <w:b/>
          <w:sz w:val="32"/>
          <w:szCs w:val="32"/>
        </w:rPr>
        <w:t>、收入支出决算总体情况说明</w:t>
      </w:r>
    </w:p>
    <w:p>
      <w:pPr>
        <w:widowControl/>
        <w:shd w:val="clear" w:color="auto" w:fill="FFFFFF"/>
        <w:spacing w:line="540" w:lineRule="atLeast"/>
        <w:ind w:firstLine="640"/>
        <w:jc w:val="left"/>
        <w:rPr>
          <w:rFonts w:ascii="仿宋" w:hAnsi="仿宋" w:eastAsia="仿宋" w:cs="Times New Roman"/>
          <w:color w:val="000000" w:themeColor="text1"/>
          <w:kern w:val="0"/>
          <w:sz w:val="32"/>
          <w:szCs w:val="32"/>
        </w:rPr>
      </w:pPr>
      <w:r>
        <w:rPr>
          <w:rFonts w:hint="eastAsia" w:ascii="仿宋" w:hAnsi="仿宋" w:eastAsia="仿宋" w:cs="Times New Roman"/>
          <w:sz w:val="32"/>
          <w:szCs w:val="32"/>
        </w:rPr>
        <w:t>本部门2017年度年初结转和结余0万元，</w:t>
      </w:r>
      <w:r>
        <w:rPr>
          <w:rFonts w:hint="eastAsia" w:ascii="仿宋" w:hAnsi="仿宋" w:eastAsia="仿宋" w:cs="Times New Roman"/>
          <w:color w:val="000000" w:themeColor="text1"/>
          <w:kern w:val="0"/>
          <w:sz w:val="32"/>
          <w:szCs w:val="32"/>
        </w:rPr>
        <w:t>2017年财政拨款收入4995.91万元，其中：政府性基金预算拨款12.15万元；一般预算拨款4983.76万元；较2016年相比收入增加了352.44万元，增长率7.59%， 2017年支出4995.91万元。较2016年相比增加了352.44万元，增长率7.59%。主要为重点工程和环境治理等项目支出增多，致使支出增加。</w:t>
      </w:r>
    </w:p>
    <w:p>
      <w:pPr>
        <w:widowControl/>
        <w:shd w:val="clear" w:color="auto" w:fill="FFFFFF"/>
        <w:spacing w:line="540" w:lineRule="atLeast"/>
        <w:ind w:firstLine="624"/>
        <w:jc w:val="left"/>
        <w:rPr>
          <w:rFonts w:ascii="黑体" w:hAnsi="黑体" w:eastAsia="黑体" w:cs="Times New Roman"/>
          <w:b/>
          <w:sz w:val="32"/>
          <w:szCs w:val="32"/>
        </w:rPr>
      </w:pPr>
      <w:r>
        <w:rPr>
          <w:rFonts w:hint="eastAsia" w:ascii="黑体" w:hAnsi="黑体" w:eastAsia="黑体" w:cs="Times New Roman"/>
          <w:b/>
          <w:sz w:val="32"/>
          <w:szCs w:val="32"/>
        </w:rPr>
        <w:t>二、收入决算情况说明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宋体"/>
          <w:color w:val="484747"/>
          <w:kern w:val="0"/>
          <w:sz w:val="32"/>
          <w:szCs w:val="32"/>
        </w:rPr>
        <w:t>本部门</w:t>
      </w:r>
      <w:r>
        <w:rPr>
          <w:rFonts w:hint="eastAsia" w:ascii="仿宋" w:hAnsi="仿宋" w:eastAsia="仿宋" w:cs="Times New Roman"/>
          <w:kern w:val="0"/>
          <w:sz w:val="32"/>
          <w:szCs w:val="32"/>
        </w:rPr>
        <w:t>2017年度本年收入合计4995.91万元，其中：一般公共预算财政拨款4983.76万元，占99.75%；政府性基金预算财政拨款12.15万元，占0.25%。事业收入0万元，国有资本经营收入0万元，</w:t>
      </w:r>
      <w:r>
        <w:rPr>
          <w:rFonts w:ascii="仿宋" w:hAnsi="仿宋" w:eastAsia="仿宋" w:cs="Times New Roman"/>
          <w:kern w:val="0"/>
          <w:sz w:val="32"/>
          <w:szCs w:val="32"/>
        </w:rPr>
        <w:t>其他收入</w:t>
      </w:r>
      <w:r>
        <w:rPr>
          <w:rFonts w:hint="eastAsia" w:ascii="仿宋" w:hAnsi="仿宋" w:eastAsia="仿宋" w:cs="Times New Roman"/>
          <w:kern w:val="0"/>
          <w:sz w:val="32"/>
          <w:szCs w:val="32"/>
        </w:rPr>
        <w:t>0</w:t>
      </w:r>
      <w:r>
        <w:rPr>
          <w:rFonts w:ascii="仿宋" w:hAnsi="仿宋" w:eastAsia="仿宋" w:cs="Times New Roman"/>
          <w:kern w:val="0"/>
          <w:sz w:val="32"/>
          <w:szCs w:val="32"/>
        </w:rPr>
        <w:t>万</w:t>
      </w:r>
      <w:r>
        <w:rPr>
          <w:rFonts w:hint="eastAsia" w:ascii="仿宋" w:hAnsi="仿宋" w:eastAsia="仿宋" w:cs="Times New Roman"/>
          <w:kern w:val="0"/>
          <w:sz w:val="32"/>
          <w:szCs w:val="32"/>
        </w:rPr>
        <w:t>。</w:t>
      </w:r>
    </w:p>
    <w:p>
      <w:pPr>
        <w:widowControl/>
        <w:shd w:val="clear" w:color="auto" w:fill="FFFFFF"/>
        <w:spacing w:line="540" w:lineRule="atLeast"/>
        <w:ind w:firstLine="643" w:firstLineChars="200"/>
        <w:jc w:val="left"/>
        <w:rPr>
          <w:rFonts w:ascii="黑体" w:hAnsi="黑体" w:eastAsia="黑体" w:cs="Times New Roman"/>
          <w:b/>
          <w:kern w:val="0"/>
          <w:sz w:val="32"/>
          <w:szCs w:val="32"/>
        </w:rPr>
      </w:pPr>
      <w:r>
        <w:rPr>
          <w:rFonts w:hint="eastAsia" w:ascii="黑体" w:hAnsi="黑体" w:eastAsia="黑体" w:cs="Times New Roman"/>
          <w:b/>
          <w:kern w:val="0"/>
          <w:sz w:val="32"/>
          <w:szCs w:val="32"/>
        </w:rPr>
        <w:t>三</w:t>
      </w:r>
      <w:r>
        <w:rPr>
          <w:rFonts w:hint="eastAsia" w:ascii="黑体" w:hAnsi="黑体" w:eastAsia="黑体" w:cs="Times New Roman"/>
          <w:b/>
          <w:sz w:val="32"/>
          <w:szCs w:val="32"/>
        </w:rPr>
        <w:t>、支出决算情况说明</w:t>
      </w:r>
    </w:p>
    <w:p>
      <w:pPr>
        <w:ind w:firstLine="640" w:firstLineChars="200"/>
        <w:rPr>
          <w:rFonts w:ascii="仿宋" w:hAnsi="仿宋" w:eastAsia="仿宋" w:cs="Times New Roman"/>
          <w:kern w:val="0"/>
          <w:sz w:val="32"/>
          <w:szCs w:val="32"/>
        </w:rPr>
      </w:pPr>
      <w:r>
        <w:rPr>
          <w:rFonts w:hint="eastAsia" w:ascii="仿宋" w:hAnsi="仿宋" w:eastAsia="仿宋" w:cs="宋体"/>
          <w:color w:val="484747"/>
          <w:kern w:val="0"/>
          <w:sz w:val="32"/>
          <w:szCs w:val="32"/>
        </w:rPr>
        <w:t>2</w:t>
      </w:r>
      <w:r>
        <w:rPr>
          <w:rFonts w:hint="eastAsia" w:ascii="仿宋" w:hAnsi="仿宋" w:eastAsia="仿宋" w:cs="Times New Roman"/>
          <w:kern w:val="0"/>
          <w:sz w:val="32"/>
          <w:szCs w:val="32"/>
        </w:rPr>
        <w:t>017年决算支出为4995.91万元，其中：基本支出944.14万元，占18.89%，</w:t>
      </w:r>
      <w:r>
        <w:rPr>
          <w:rFonts w:ascii="仿宋" w:hAnsi="仿宋" w:eastAsia="仿宋" w:cs="Times New Roman"/>
          <w:kern w:val="0"/>
          <w:sz w:val="32"/>
          <w:szCs w:val="32"/>
        </w:rPr>
        <w:t>包括人员经费</w:t>
      </w:r>
      <w:r>
        <w:rPr>
          <w:rFonts w:hint="eastAsia" w:ascii="仿宋" w:hAnsi="仿宋" w:eastAsia="仿宋" w:cs="Times New Roman"/>
          <w:kern w:val="0"/>
          <w:sz w:val="32"/>
          <w:szCs w:val="32"/>
        </w:rPr>
        <w:t>767.64万元</w:t>
      </w:r>
      <w:r>
        <w:rPr>
          <w:rFonts w:ascii="仿宋" w:hAnsi="仿宋" w:eastAsia="仿宋" w:cs="Times New Roman"/>
          <w:kern w:val="0"/>
          <w:sz w:val="32"/>
          <w:szCs w:val="32"/>
        </w:rPr>
        <w:t>和日常公用经费</w:t>
      </w:r>
      <w:r>
        <w:rPr>
          <w:rFonts w:hint="eastAsia" w:ascii="仿宋" w:hAnsi="仿宋" w:eastAsia="仿宋" w:cs="Times New Roman"/>
          <w:kern w:val="0"/>
          <w:sz w:val="32"/>
          <w:szCs w:val="32"/>
        </w:rPr>
        <w:t>176.50万元；项目支出4051.77万元，占总支出81.11%。</w:t>
      </w:r>
      <w:r>
        <w:rPr>
          <w:rFonts w:ascii="仿宋" w:hAnsi="仿宋" w:eastAsia="仿宋" w:cs="Times New Roman"/>
          <w:kern w:val="0"/>
          <w:sz w:val="32"/>
          <w:szCs w:val="32"/>
        </w:rPr>
        <w:t>主要为</w:t>
      </w:r>
      <w:r>
        <w:rPr>
          <w:rFonts w:hint="eastAsia" w:ascii="仿宋" w:hAnsi="仿宋" w:eastAsia="仿宋" w:cs="Times New Roman"/>
          <w:kern w:val="0"/>
          <w:sz w:val="32"/>
          <w:szCs w:val="32"/>
        </w:rPr>
        <w:t>综治重点工作经费</w:t>
      </w:r>
      <w:r>
        <w:rPr>
          <w:rFonts w:ascii="仿宋" w:hAnsi="仿宋" w:eastAsia="仿宋" w:cs="Times New Roman"/>
          <w:kern w:val="0"/>
          <w:sz w:val="32"/>
          <w:szCs w:val="32"/>
        </w:rPr>
        <w:t>、</w:t>
      </w:r>
      <w:r>
        <w:rPr>
          <w:rFonts w:hint="eastAsia" w:ascii="仿宋" w:hAnsi="仿宋" w:eastAsia="仿宋" w:cs="Times New Roman"/>
          <w:kern w:val="0"/>
          <w:sz w:val="32"/>
          <w:szCs w:val="32"/>
        </w:rPr>
        <w:t>维稳经费</w:t>
      </w:r>
      <w:r>
        <w:rPr>
          <w:rFonts w:ascii="仿宋" w:hAnsi="仿宋" w:eastAsia="仿宋" w:cs="Times New Roman"/>
          <w:kern w:val="0"/>
          <w:sz w:val="32"/>
          <w:szCs w:val="32"/>
        </w:rPr>
        <w:t>、</w:t>
      </w:r>
      <w:r>
        <w:rPr>
          <w:rFonts w:hint="eastAsia" w:ascii="仿宋" w:hAnsi="仿宋" w:eastAsia="仿宋" w:cs="Times New Roman"/>
          <w:kern w:val="0"/>
          <w:sz w:val="32"/>
          <w:szCs w:val="32"/>
        </w:rPr>
        <w:t>环境治理工程项目、办公场所维修改造专项资金</w:t>
      </w:r>
      <w:r>
        <w:rPr>
          <w:rFonts w:ascii="仿宋" w:hAnsi="仿宋" w:eastAsia="仿宋" w:cs="Times New Roman"/>
          <w:kern w:val="0"/>
          <w:sz w:val="32"/>
          <w:szCs w:val="32"/>
        </w:rPr>
        <w:t>等；</w:t>
      </w:r>
      <w:r>
        <w:rPr>
          <w:rFonts w:hint="eastAsia" w:ascii="仿宋" w:hAnsi="仿宋" w:eastAsia="仿宋" w:cs="Times New Roman"/>
          <w:kern w:val="0"/>
          <w:sz w:val="32"/>
          <w:szCs w:val="32"/>
        </w:rPr>
        <w:t xml:space="preserve"> </w:t>
      </w:r>
    </w:p>
    <w:p>
      <w:pPr>
        <w:spacing w:line="560" w:lineRule="exact"/>
        <w:ind w:firstLine="472" w:firstLineChars="147"/>
        <w:jc w:val="left"/>
        <w:rPr>
          <w:rFonts w:ascii="黑体" w:hAnsi="黑体" w:eastAsia="黑体" w:cs="Times New Roman"/>
          <w:b/>
          <w:sz w:val="32"/>
          <w:szCs w:val="32"/>
        </w:rPr>
      </w:pPr>
      <w:r>
        <w:rPr>
          <w:rFonts w:hint="eastAsia" w:ascii="黑体" w:hAnsi="黑体" w:eastAsia="黑体" w:cs="Times New Roman"/>
          <w:b/>
          <w:sz w:val="32"/>
          <w:szCs w:val="32"/>
        </w:rPr>
        <w:t>四、财政拨款收入支出决算总体情况说明</w:t>
      </w:r>
    </w:p>
    <w:p>
      <w:pPr>
        <w:pStyle w:val="5"/>
        <w:shd w:val="clear" w:color="auto" w:fill="FFFFFF"/>
        <w:spacing w:before="0" w:beforeAutospacing="0" w:after="0" w:afterAutospacing="0" w:line="384" w:lineRule="atLeast"/>
        <w:ind w:left="420" w:leftChars="200" w:firstLine="321" w:firstLineChars="100"/>
        <w:rPr>
          <w:rFonts w:ascii="楷体" w:hAnsi="楷体" w:eastAsia="楷体" w:cs="楷体"/>
          <w:b/>
          <w:kern w:val="2"/>
          <w:sz w:val="32"/>
          <w:szCs w:val="32"/>
        </w:rPr>
      </w:pPr>
      <w:r>
        <w:rPr>
          <w:rFonts w:hint="eastAsia" w:ascii="楷体" w:hAnsi="楷体" w:eastAsia="楷体" w:cs="楷体"/>
          <w:b/>
          <w:kern w:val="2"/>
          <w:sz w:val="32"/>
          <w:szCs w:val="32"/>
        </w:rPr>
        <w:t>（一）财政拨款收支与2016年度决算对比情况</w:t>
      </w:r>
    </w:p>
    <w:p>
      <w:pPr>
        <w:widowControl/>
        <w:shd w:val="clear" w:color="auto" w:fill="FFFFFF"/>
        <w:spacing w:line="540" w:lineRule="atLeast"/>
        <w:ind w:firstLine="480" w:firstLineChars="150"/>
        <w:jc w:val="left"/>
        <w:rPr>
          <w:rFonts w:ascii="仿宋" w:hAnsi="仿宋" w:eastAsia="仿宋" w:cs="Times New Roman"/>
          <w:color w:val="000000" w:themeColor="text1"/>
          <w:kern w:val="0"/>
          <w:sz w:val="32"/>
          <w:szCs w:val="32"/>
        </w:rPr>
      </w:pPr>
      <w:r>
        <w:rPr>
          <w:rFonts w:hint="eastAsia" w:ascii="仿宋" w:hAnsi="仿宋" w:eastAsia="仿宋" w:cs="Times New Roman"/>
          <w:color w:val="000000" w:themeColor="text1"/>
          <w:kern w:val="0"/>
          <w:sz w:val="32"/>
          <w:szCs w:val="32"/>
        </w:rPr>
        <w:t>本部门2017年度财政拨款收支全部为一般公共预算财政拨款收支，年初没有一般公共预算拨款结转结余数。2017年财政拨款收入决算总计4995.91万元，财政拨款支出决算总计4995.91万元。比2016年增加了352.44万元，增长率7.59%。其中一般公共预算拨款增加2578.73万元，政府性基金预算财政拨款减少了2226.29万元。2017年支出决算较2016年增加了352.44万元，比上年增长7.59%，其中基本支出减少139.31万元，比上年减少12.86%，主要原因是压缩了基本支出。项目支出增加491.75万元，比上年增加13.81%，主要原因是增加农村环境治理和散乱污企业整治力度，加大资金投入。</w:t>
      </w:r>
    </w:p>
    <w:p>
      <w:pPr>
        <w:pStyle w:val="5"/>
        <w:shd w:val="clear" w:color="auto" w:fill="FFFFFF"/>
        <w:spacing w:before="0" w:beforeAutospacing="0" w:after="0" w:afterAutospacing="0" w:line="384" w:lineRule="atLeast"/>
        <w:ind w:left="420" w:leftChars="200" w:firstLine="321" w:firstLineChars="100"/>
        <w:rPr>
          <w:rFonts w:ascii="楷体" w:hAnsi="楷体" w:eastAsia="楷体" w:cs="楷体"/>
          <w:b/>
          <w:kern w:val="2"/>
          <w:sz w:val="32"/>
          <w:szCs w:val="32"/>
        </w:rPr>
      </w:pPr>
      <w:r>
        <w:rPr>
          <w:rFonts w:hint="eastAsia" w:ascii="楷体" w:hAnsi="楷体" w:eastAsia="楷体" w:cs="楷体"/>
          <w:b/>
          <w:kern w:val="2"/>
          <w:sz w:val="32"/>
          <w:szCs w:val="32"/>
        </w:rPr>
        <w:t>（二）财政拨款收支与年初预算数对比情况</w:t>
      </w:r>
    </w:p>
    <w:p>
      <w:pPr>
        <w:widowControl/>
        <w:shd w:val="clear" w:color="auto" w:fill="FFFFFF"/>
        <w:spacing w:line="540" w:lineRule="atLeast"/>
        <w:ind w:firstLine="640" w:firstLineChars="200"/>
        <w:jc w:val="left"/>
        <w:rPr>
          <w:rFonts w:ascii="仿宋" w:hAnsi="仿宋" w:eastAsia="仿宋" w:cs="Times New Roman"/>
          <w:color w:val="000000" w:themeColor="text1"/>
          <w:kern w:val="0"/>
          <w:sz w:val="32"/>
          <w:szCs w:val="32"/>
        </w:rPr>
      </w:pPr>
      <w:r>
        <w:rPr>
          <w:rFonts w:hint="eastAsia" w:ascii="仿宋" w:hAnsi="仿宋" w:eastAsia="仿宋" w:cs="Times New Roman"/>
          <w:color w:val="000000" w:themeColor="text1"/>
          <w:kern w:val="0"/>
          <w:sz w:val="32"/>
          <w:szCs w:val="32"/>
        </w:rPr>
        <w:t>本部门2017年财政拨款收入比年初预算增加3873.94万元，增加308.84%，一般预算拨款增加333.4%，主要原因是，大气污染防治，惠民工程资金投入增加。政府性基金预算财政拨款减少84.6%。主要原因是项目征地比预计减少。</w:t>
      </w:r>
    </w:p>
    <w:p>
      <w:pPr>
        <w:widowControl/>
        <w:spacing w:line="54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五、一般公共预算财政拨款“三公”经费支出决算情况说明</w:t>
      </w:r>
    </w:p>
    <w:p>
      <w:pPr>
        <w:widowControl/>
        <w:shd w:val="clear" w:color="auto" w:fill="FFFFFF"/>
        <w:spacing w:line="540" w:lineRule="atLeast"/>
        <w:ind w:firstLine="640" w:firstLineChars="200"/>
        <w:jc w:val="left"/>
        <w:rPr>
          <w:rFonts w:ascii="仿宋" w:hAnsi="仿宋" w:eastAsia="仿宋" w:cs="Times New Roman"/>
          <w:kern w:val="0"/>
          <w:sz w:val="32"/>
          <w:szCs w:val="32"/>
        </w:rPr>
      </w:pPr>
      <w:r>
        <w:rPr>
          <w:rFonts w:hint="eastAsia" w:ascii="仿宋" w:hAnsi="仿宋" w:eastAsia="仿宋" w:cs="Times New Roman"/>
          <w:sz w:val="32"/>
          <w:szCs w:val="32"/>
        </w:rPr>
        <w:t>本部门</w:t>
      </w:r>
      <w:r>
        <w:rPr>
          <w:rFonts w:hint="eastAsia" w:ascii="仿宋" w:hAnsi="仿宋" w:eastAsia="仿宋" w:cs="Times New Roman"/>
          <w:kern w:val="0"/>
          <w:sz w:val="32"/>
          <w:szCs w:val="32"/>
        </w:rPr>
        <w:t>2017年</w:t>
      </w:r>
      <w:r>
        <w:rPr>
          <w:rFonts w:hint="eastAsia" w:ascii="仿宋" w:hAnsi="仿宋" w:eastAsia="仿宋"/>
          <w:sz w:val="32"/>
          <w:szCs w:val="32"/>
        </w:rPr>
        <w:t>度一般公共预算财政拨款</w:t>
      </w:r>
      <w:r>
        <w:rPr>
          <w:rFonts w:hint="eastAsia" w:ascii="仿宋" w:hAnsi="仿宋" w:eastAsia="仿宋" w:cs="Times New Roman"/>
          <w:kern w:val="0"/>
          <w:sz w:val="32"/>
          <w:szCs w:val="32"/>
        </w:rPr>
        <w:t>“三公”经费支出6.07万元，比年初预算数减少7.13万元，降低54.01%。</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（一）因公出国（境）费支出0万元。</w:t>
      </w:r>
      <w:r>
        <w:rPr>
          <w:rFonts w:hint="eastAsia" w:ascii="仿宋" w:hAnsi="仿宋" w:eastAsia="仿宋" w:cs="Times New Roman"/>
          <w:sz w:val="32"/>
          <w:szCs w:val="32"/>
        </w:rPr>
        <w:t>本部门2017年度因公出国（境）费支出较年初预算无增减变化。较2016年度决算无增减变化。</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（二）公务用车购置及运行维护费支出6.07万元。</w:t>
      </w:r>
    </w:p>
    <w:p>
      <w:pPr>
        <w:pStyle w:val="5"/>
        <w:shd w:val="clear" w:color="auto" w:fill="FFFFFF"/>
        <w:spacing w:before="0" w:beforeAutospacing="0" w:after="0" w:afterAutospacing="0" w:line="384" w:lineRule="atLeast"/>
        <w:ind w:firstLine="643" w:firstLineChars="200"/>
        <w:rPr>
          <w:rFonts w:ascii="仿宋" w:hAnsi="仿宋" w:eastAsia="仿宋" w:cs="Times New Roman"/>
          <w:kern w:val="2"/>
          <w:sz w:val="32"/>
          <w:szCs w:val="32"/>
        </w:rPr>
      </w:pPr>
      <w:r>
        <w:rPr>
          <w:rFonts w:hint="eastAsia" w:ascii="仿宋" w:hAnsi="仿宋" w:eastAsia="仿宋" w:cs="Times New Roman"/>
          <w:b/>
          <w:bCs/>
          <w:kern w:val="2"/>
          <w:sz w:val="32"/>
          <w:szCs w:val="32"/>
        </w:rPr>
        <w:t>公务用车购置费支出0万元。</w:t>
      </w:r>
      <w:r>
        <w:rPr>
          <w:rFonts w:hint="eastAsia" w:ascii="仿宋" w:hAnsi="仿宋" w:eastAsia="仿宋" w:cs="Times New Roman"/>
          <w:kern w:val="2"/>
          <w:sz w:val="32"/>
          <w:szCs w:val="32"/>
        </w:rPr>
        <w:t>本部门2017年度公务用车购置费较年初预算无增减变化。较2016年度决算无增减变化。</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仿宋" w:hAnsi="仿宋" w:eastAsia="仿宋" w:cs="Times New Roman"/>
          <w:b/>
          <w:bCs/>
          <w:sz w:val="32"/>
          <w:szCs w:val="32"/>
        </w:rPr>
        <w:t>公务用车运行维护费支出6.07万元。</w:t>
      </w:r>
      <w:r>
        <w:rPr>
          <w:rFonts w:hint="eastAsia" w:ascii="仿宋" w:hAnsi="仿宋" w:eastAsia="仿宋" w:cs="Times New Roman"/>
          <w:bCs/>
          <w:sz w:val="32"/>
          <w:szCs w:val="32"/>
        </w:rPr>
        <w:t>本部门2017年</w:t>
      </w:r>
      <w:r>
        <w:rPr>
          <w:rFonts w:hint="eastAsia" w:ascii="仿宋" w:hAnsi="仿宋" w:eastAsia="仿宋" w:cs="Times New Roman"/>
          <w:kern w:val="0"/>
          <w:sz w:val="32"/>
          <w:szCs w:val="32"/>
        </w:rPr>
        <w:t>年末公务用车保有量3辆，比2016年减少0辆公务用车）；公务用车运维费2017年决算6.07万元，比2016年减少1.34万元，减少18.08%。原因是控制公务用车使用次数，压减开支。</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（三）公务接待费支出0万元。</w:t>
      </w:r>
      <w:r>
        <w:rPr>
          <w:rFonts w:hint="eastAsia" w:ascii="仿宋" w:hAnsi="仿宋" w:eastAsia="仿宋" w:cs="Times New Roman"/>
          <w:kern w:val="0"/>
          <w:sz w:val="32"/>
          <w:szCs w:val="32"/>
        </w:rPr>
        <w:t>公务接待费2017年决算0万元（2017年度国内公务接待0批次，合计接待0人次），原因是本年无公务接待。</w:t>
      </w:r>
    </w:p>
    <w:p>
      <w:pPr>
        <w:pStyle w:val="5"/>
        <w:shd w:val="clear" w:color="auto" w:fill="FFFFFF"/>
        <w:spacing w:before="0" w:beforeAutospacing="0" w:after="0" w:afterAutospacing="0" w:line="384" w:lineRule="atLeas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六、绩效预算管理工作开展情况说明</w:t>
      </w:r>
    </w:p>
    <w:p>
      <w:pPr>
        <w:pStyle w:val="5"/>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（一）绩效管理工作开展情况</w:t>
      </w:r>
    </w:p>
    <w:p>
      <w:pPr>
        <w:snapToGrid w:val="0"/>
        <w:spacing w:line="600" w:lineRule="exact"/>
        <w:ind w:firstLine="640"/>
        <w:rPr>
          <w:rFonts w:ascii="仿宋" w:hAnsi="仿宋" w:eastAsia="仿宋" w:cs="仿宋"/>
          <w:color w:val="000000"/>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rPr>
        <w:t>7年，大厂回族自治县夏垫镇人民政府，</w:t>
      </w:r>
      <w:r>
        <w:rPr>
          <w:rFonts w:hint="eastAsia" w:ascii="仿宋" w:hAnsi="仿宋" w:eastAsia="仿宋" w:cs="仿宋"/>
          <w:color w:val="000000"/>
          <w:kern w:val="0"/>
          <w:sz w:val="32"/>
          <w:szCs w:val="32"/>
        </w:rPr>
        <w:t>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5"/>
        <w:numPr>
          <w:ilvl w:val="0"/>
          <w:numId w:val="1"/>
        </w:numPr>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预算项目绩效评价开展情况</w:t>
      </w:r>
    </w:p>
    <w:p>
      <w:pPr>
        <w:spacing w:line="580" w:lineRule="exact"/>
        <w:ind w:firstLine="640"/>
        <w:rPr>
          <w:rFonts w:ascii="仿宋" w:hAnsi="仿宋" w:eastAsia="仿宋" w:cs="仿宋"/>
          <w:kern w:val="0"/>
          <w:sz w:val="32"/>
          <w:szCs w:val="32"/>
        </w:rPr>
      </w:pPr>
      <w:r>
        <w:rPr>
          <w:rFonts w:hint="eastAsia" w:ascii="仿宋" w:hAnsi="仿宋" w:eastAsia="仿宋" w:cs="仿宋"/>
          <w:kern w:val="0"/>
          <w:sz w:val="32"/>
          <w:szCs w:val="32"/>
        </w:rPr>
        <w:t>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5"/>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（三）预算项目绩效自评选例</w:t>
      </w:r>
    </w:p>
    <w:p>
      <w:pPr>
        <w:snapToGrid w:val="0"/>
        <w:spacing w:line="60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我单位建档立卡贫困户公益性岗位资金属于扶贫领域专项资金。总体目标为对建档立卡贫困户设立公益性岗位，帮助其脱贫。产出指标：补助金发放率100%；补助金覆盖率100%；补助金发放及时率100%。效益指标：补助人群生活水平提升情况为显著提升。绩效自评等级为“优秀”。</w:t>
      </w:r>
    </w:p>
    <w:p>
      <w:pPr>
        <w:spacing w:line="560" w:lineRule="exact"/>
        <w:jc w:val="left"/>
        <w:rPr>
          <w:rFonts w:ascii="黑体" w:hAnsi="黑体" w:eastAsia="黑体" w:cs="Times New Roman"/>
          <w:b/>
          <w:sz w:val="32"/>
          <w:szCs w:val="32"/>
        </w:rPr>
      </w:pPr>
      <w:r>
        <w:rPr>
          <w:rFonts w:hint="eastAsia" w:ascii="黑体" w:hAnsi="黑体" w:eastAsia="黑体" w:cs="Times New Roman"/>
          <w:b/>
          <w:sz w:val="32"/>
          <w:szCs w:val="32"/>
        </w:rPr>
        <w:t>（七）其他重要事项的说明</w:t>
      </w:r>
    </w:p>
    <w:p>
      <w:pPr>
        <w:autoSpaceDE w:val="0"/>
        <w:autoSpaceDN w:val="0"/>
        <w:snapToGrid w:val="0"/>
        <w:spacing w:line="540" w:lineRule="exact"/>
        <w:rPr>
          <w:rFonts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（一）机关运行经费的支出情况的说明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2017年本部门机关运行经费支出176.5万元。比2016年增加70.54万元，提高60%。主要原因是人员调入及政府装修增加支出。</w:t>
      </w:r>
    </w:p>
    <w:p>
      <w:pPr>
        <w:spacing w:line="560" w:lineRule="exact"/>
        <w:jc w:val="left"/>
        <w:rPr>
          <w:rFonts w:ascii="楷体" w:hAnsi="楷体" w:eastAsia="楷体" w:cs="Times New Roman"/>
          <w:b/>
          <w:sz w:val="32"/>
          <w:szCs w:val="32"/>
        </w:rPr>
      </w:pPr>
      <w:bookmarkStart w:id="0" w:name="_Toc471398468"/>
      <w:r>
        <w:rPr>
          <w:rFonts w:hint="eastAsia" w:ascii="楷体" w:hAnsi="楷体" w:eastAsia="楷体" w:cs="Times New Roman"/>
          <w:b/>
          <w:sz w:val="32"/>
          <w:szCs w:val="32"/>
        </w:rPr>
        <w:t>（二）</w:t>
      </w:r>
      <w:r>
        <w:rPr>
          <w:rFonts w:ascii="楷体" w:hAnsi="楷体" w:eastAsia="楷体" w:cs="Times New Roman"/>
          <w:b/>
          <w:sz w:val="32"/>
          <w:szCs w:val="32"/>
        </w:rPr>
        <w:t>政府采购决算情况</w:t>
      </w:r>
    </w:p>
    <w:p>
      <w:pPr>
        <w:widowControl/>
        <w:spacing w:line="5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楷体" w:hAnsi="楷体" w:eastAsia="楷体"/>
          <w:b/>
          <w:sz w:val="32"/>
          <w:szCs w:val="32"/>
        </w:rPr>
        <w:t xml:space="preserve"> </w:t>
      </w:r>
      <w:r>
        <w:rPr>
          <w:rFonts w:hint="eastAsia" w:ascii="仿宋_GB2312" w:hAnsi="仿宋_GB2312" w:eastAsia="仿宋_GB2312"/>
          <w:sz w:val="32"/>
          <w:szCs w:val="30"/>
        </w:rPr>
        <w:t>2017年度本部门政府采购支出总额0万元。</w:t>
      </w:r>
    </w:p>
    <w:p>
      <w:pPr>
        <w:autoSpaceDE w:val="0"/>
        <w:autoSpaceDN w:val="0"/>
        <w:snapToGrid w:val="0"/>
        <w:spacing w:line="520" w:lineRule="exact"/>
        <w:rPr>
          <w:rFonts w:ascii="仿宋_GB2312" w:hAnsi="仿宋_GB2312" w:eastAsia="仿宋_GB2312" w:cs="仿宋_GB2312"/>
          <w:kern w:val="0"/>
          <w:sz w:val="32"/>
          <w:szCs w:val="32"/>
          <w:shd w:val="clear" w:color="auto" w:fill="FFFFFF"/>
        </w:rPr>
        <w:sectPr>
          <w:pgSz w:w="11906" w:h="16838"/>
          <w:pgMar w:top="1985" w:right="1587" w:bottom="2155" w:left="1474" w:header="851" w:footer="992" w:gutter="0"/>
          <w:cols w:space="720" w:num="1"/>
          <w:docGrid w:type="lines" w:linePitch="315" w:charSpace="0"/>
        </w:sectPr>
      </w:pPr>
    </w:p>
    <w:bookmarkEnd w:id="0"/>
    <w:p>
      <w:pPr>
        <w:spacing w:line="560" w:lineRule="exact"/>
        <w:jc w:val="left"/>
        <w:rPr>
          <w:rFonts w:ascii="楷体" w:hAnsi="楷体" w:eastAsia="楷体" w:cs="Times New Roman"/>
          <w:b/>
          <w:sz w:val="32"/>
          <w:szCs w:val="32"/>
        </w:rPr>
      </w:pPr>
      <w:r>
        <w:rPr>
          <w:rFonts w:hint="eastAsia" w:ascii="楷体" w:hAnsi="楷体" w:eastAsia="楷体" w:cs="Times New Roman"/>
          <w:b/>
          <w:sz w:val="32"/>
          <w:szCs w:val="32"/>
        </w:rPr>
        <w:t>（三）</w:t>
      </w:r>
      <w:r>
        <w:rPr>
          <w:rFonts w:hint="eastAsia" w:ascii="楷体" w:hAnsi="楷体" w:eastAsia="楷体" w:cs="楷体"/>
          <w:b/>
          <w:sz w:val="32"/>
          <w:szCs w:val="32"/>
        </w:rPr>
        <w:t>国有资产占用情况</w:t>
      </w:r>
    </w:p>
    <w:p>
      <w:pPr>
        <w:spacing w:line="520" w:lineRule="exact"/>
        <w:ind w:firstLine="640"/>
        <w:rPr>
          <w:rFonts w:eastAsia="仿宋_GB2312"/>
          <w:sz w:val="32"/>
          <w:szCs w:val="32"/>
        </w:rPr>
      </w:pPr>
      <w:r>
        <w:rPr>
          <w:rFonts w:hint="eastAsia" w:eastAsia="仿宋_GB2312"/>
          <w:sz w:val="32"/>
          <w:szCs w:val="32"/>
        </w:rPr>
        <w:t>我部门（含所属事业单位）上年末固定资产金额为445.70万元，本年度各单位固定资产净值346.52万元，主要为房屋及构筑物3042.52平米，价值207万元，其中包含大会议室、职工值班宿舍、锅炉房、机关食堂、车库、库房、厕所等配套设施；机要通信用车3辆，价值17.69万元，与上年比较无变化；其他固定资产121.83万元，主要为计算机设备、打印设备、空调、办公家具等，详见下表。（据实填写）</w:t>
      </w:r>
    </w:p>
    <w:p>
      <w:pPr>
        <w:spacing w:line="520" w:lineRule="exact"/>
        <w:ind w:firstLine="640"/>
        <w:rPr>
          <w:rFonts w:eastAsia="仿宋_GB2312"/>
          <w:sz w:val="32"/>
          <w:szCs w:val="32"/>
        </w:rPr>
      </w:pPr>
    </w:p>
    <w:tbl>
      <w:tblPr>
        <w:tblStyle w:val="6"/>
        <w:tblW w:w="8900" w:type="dxa"/>
        <w:jc w:val="center"/>
        <w:tblLayout w:type="fixed"/>
        <w:tblCellMar>
          <w:top w:w="0" w:type="dxa"/>
          <w:left w:w="108" w:type="dxa"/>
          <w:bottom w:w="0" w:type="dxa"/>
          <w:right w:w="108" w:type="dxa"/>
        </w:tblCellMar>
      </w:tblPr>
      <w:tblGrid>
        <w:gridCol w:w="3449"/>
        <w:gridCol w:w="2081"/>
        <w:gridCol w:w="3370"/>
      </w:tblGrid>
      <w:tr>
        <w:tblPrEx>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20" w:lineRule="exact"/>
              <w:jc w:val="center"/>
              <w:rPr>
                <w:rFonts w:ascii="宋体" w:hAnsi="宋体" w:cs="宋体"/>
                <w:b/>
                <w:bCs/>
                <w:kern w:val="0"/>
                <w:sz w:val="28"/>
                <w:szCs w:val="28"/>
              </w:rPr>
            </w:pPr>
            <w:r>
              <w:rPr>
                <w:rFonts w:hint="eastAsia" w:ascii="宋体" w:hAnsi="宋体" w:cs="宋体"/>
                <w:b/>
                <w:bCs/>
                <w:kern w:val="0"/>
                <w:sz w:val="28"/>
                <w:szCs w:val="28"/>
              </w:rPr>
              <w:t>大厂回族自治县夏垫镇人民政府固定资产占用情况表</w:t>
            </w:r>
          </w:p>
          <w:p>
            <w:pPr>
              <w:autoSpaceDE w:val="0"/>
              <w:autoSpaceDN w:val="0"/>
              <w:snapToGrid w:val="0"/>
              <w:spacing w:line="520" w:lineRule="exact"/>
              <w:jc w:val="center"/>
              <w:rPr>
                <w:rFonts w:ascii="宋体" w:hAnsi="宋体" w:cs="宋体"/>
                <w:b/>
                <w:bCs/>
                <w:kern w:val="0"/>
                <w:sz w:val="28"/>
                <w:szCs w:val="28"/>
              </w:rPr>
            </w:pPr>
            <w:r>
              <w:rPr>
                <w:rFonts w:hint="eastAsia" w:ascii="楷体_GB2312" w:hAnsi="楷体_GB2312" w:eastAsia="楷体_GB2312" w:cs="楷体_GB2312"/>
                <w:kern w:val="0"/>
                <w:sz w:val="32"/>
                <w:szCs w:val="32"/>
                <w:shd w:val="clear" w:color="auto" w:fill="FFFFFF"/>
              </w:rPr>
              <w:t>（可从部门决算中提取）</w:t>
            </w:r>
          </w:p>
        </w:tc>
      </w:tr>
      <w:tr>
        <w:tblPrEx>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20" w:lineRule="exact"/>
              <w:jc w:val="left"/>
              <w:rPr>
                <w:kern w:val="0"/>
                <w:sz w:val="22"/>
              </w:rPr>
            </w:pPr>
            <w:r>
              <w:rPr>
                <w:rFonts w:hint="eastAsia" w:ascii="宋体" w:hAnsi="宋体" w:cs="宋体"/>
                <w:kern w:val="0"/>
                <w:sz w:val="22"/>
              </w:rPr>
              <w:t>编制部门：大厂回族自治县夏垫镇人民政府</w:t>
            </w:r>
          </w:p>
        </w:tc>
        <w:tc>
          <w:tcPr>
            <w:tcW w:w="3370" w:type="dxa"/>
            <w:tcBorders>
              <w:top w:val="nil"/>
              <w:left w:val="nil"/>
              <w:bottom w:val="nil"/>
              <w:right w:val="nil"/>
            </w:tcBorders>
            <w:vAlign w:val="center"/>
          </w:tcPr>
          <w:p>
            <w:pPr>
              <w:widowControl/>
              <w:spacing w:line="520" w:lineRule="exact"/>
              <w:jc w:val="left"/>
              <w:rPr>
                <w:kern w:val="0"/>
                <w:sz w:val="22"/>
              </w:rPr>
            </w:pPr>
            <w:r>
              <w:rPr>
                <w:kern w:val="0"/>
                <w:sz w:val="22"/>
              </w:rPr>
              <w:t xml:space="preserve">截止时间：2017年12月31日  </w:t>
            </w:r>
          </w:p>
        </w:tc>
      </w:tr>
      <w:tr>
        <w:tblPrEx>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价值（金额单位：万元）</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346.52</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3042.52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207.00</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3042.52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207.00</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17.69</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0</w:t>
            </w:r>
          </w:p>
        </w:tc>
      </w:tr>
      <w:tr>
        <w:tblPrEx>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121.83</w:t>
            </w:r>
          </w:p>
        </w:tc>
      </w:tr>
    </w:tbl>
    <w:p>
      <w:pPr>
        <w:pStyle w:val="5"/>
        <w:shd w:val="clear" w:color="auto" w:fill="FFFFFF"/>
        <w:spacing w:before="0" w:beforeAutospacing="0" w:after="0" w:afterAutospacing="0" w:line="384" w:lineRule="atLeast"/>
        <w:rPr>
          <w:rFonts w:ascii="仿宋" w:hAnsi="仿宋" w:eastAsia="仿宋" w:cstheme="minorBidi"/>
          <w:kern w:val="2"/>
          <w:sz w:val="32"/>
          <w:szCs w:val="32"/>
        </w:rPr>
      </w:pPr>
    </w:p>
    <w:p>
      <w:pPr>
        <w:spacing w:line="560" w:lineRule="exact"/>
        <w:jc w:val="left"/>
        <w:rPr>
          <w:rFonts w:ascii="楷体" w:hAnsi="楷体" w:eastAsia="楷体" w:cs="Times New Roman"/>
          <w:b/>
          <w:sz w:val="32"/>
          <w:szCs w:val="32"/>
        </w:rPr>
      </w:pPr>
      <w:r>
        <w:rPr>
          <w:rFonts w:hint="eastAsia" w:ascii="楷体" w:hAnsi="楷体" w:eastAsia="楷体"/>
          <w:b/>
          <w:sz w:val="32"/>
          <w:szCs w:val="32"/>
        </w:rPr>
        <w:t>（四）</w:t>
      </w:r>
      <w:r>
        <w:rPr>
          <w:rFonts w:ascii="楷体" w:hAnsi="楷体" w:eastAsia="楷体" w:cs="Times New Roman"/>
          <w:b/>
          <w:sz w:val="32"/>
          <w:szCs w:val="32"/>
        </w:rPr>
        <w:t>其他需要说明的情况</w:t>
      </w:r>
    </w:p>
    <w:p>
      <w:pPr>
        <w:autoSpaceDE w:val="0"/>
        <w:autoSpaceDN w:val="0"/>
        <w:adjustRightInd w:val="0"/>
        <w:ind w:left="-2" w:leftChars="-1" w:firstLine="240" w:firstLineChars="75"/>
        <w:jc w:val="left"/>
        <w:rPr>
          <w:rFonts w:ascii="仿宋" w:hAnsi="仿宋" w:eastAsia="仿宋"/>
          <w:sz w:val="32"/>
          <w:szCs w:val="32"/>
        </w:rPr>
      </w:pPr>
      <w:r>
        <w:rPr>
          <w:rFonts w:hint="eastAsia" w:ascii="仿宋" w:hAnsi="仿宋" w:eastAsia="仿宋"/>
          <w:sz w:val="32"/>
          <w:szCs w:val="32"/>
        </w:rPr>
        <w:t>我单位无其他需要说明的情况</w:t>
      </w:r>
    </w:p>
    <w:p>
      <w:pPr>
        <w:widowControl/>
        <w:shd w:val="clear" w:color="auto" w:fill="FFFFFF"/>
        <w:spacing w:line="540" w:lineRule="atLeast"/>
        <w:ind w:firstLine="320" w:firstLineChars="100"/>
        <w:jc w:val="left"/>
        <w:rPr>
          <w:rFonts w:ascii="Calibri" w:hAnsi="Calibri" w:eastAsia="黑体" w:cs="Times New Roman"/>
          <w:sz w:val="32"/>
          <w:szCs w:val="32"/>
        </w:rPr>
      </w:pPr>
      <w:r>
        <w:rPr>
          <w:rFonts w:hint="eastAsia" w:ascii="Calibri" w:hAnsi="Calibri" w:eastAsia="黑体" w:cs="Times New Roman"/>
          <w:sz w:val="32"/>
          <w:szCs w:val="32"/>
        </w:rPr>
        <w:t xml:space="preserve">              第四部分    名词解释</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（二）事业收入：指事业单位开展专业业务活动及辅助活动所取得的收入。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（三）其他收入：指除上述</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等以外的收入。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（四）用事业基金弥补收支差额：指事业单位在用当年的</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财政拨款结转和结余资金</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其他收入</w:t>
      </w:r>
      <w:r>
        <w:rPr>
          <w:rFonts w:eastAsia="仿宋_GB2312"/>
          <w:color w:val="000000"/>
          <w:kern w:val="0"/>
          <w:sz w:val="32"/>
          <w:szCs w:val="32"/>
        </w:rPr>
        <w:t>”</w:t>
      </w:r>
      <w:r>
        <w:rPr>
          <w:rFonts w:hint="eastAsia"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（十二）</w:t>
      </w:r>
      <w:r>
        <w:rPr>
          <w:rFonts w:eastAsia="仿宋_GB2312"/>
          <w:color w:val="000000"/>
          <w:kern w:val="0"/>
          <w:sz w:val="32"/>
          <w:szCs w:val="32"/>
        </w:rPr>
        <w:t>“</w:t>
      </w:r>
      <w:r>
        <w:rPr>
          <w:rFonts w:hint="eastAsia" w:hAnsi="宋体" w:eastAsia="仿宋_GB2312" w:cs="宋体"/>
          <w:color w:val="000000"/>
          <w:kern w:val="0"/>
          <w:sz w:val="32"/>
          <w:szCs w:val="32"/>
        </w:rPr>
        <w:t>三公</w:t>
      </w:r>
      <w:r>
        <w:rPr>
          <w:rFonts w:eastAsia="仿宋_GB2312"/>
          <w:color w:val="000000"/>
          <w:kern w:val="0"/>
          <w:sz w:val="32"/>
          <w:szCs w:val="32"/>
        </w:rPr>
        <w:t>”</w:t>
      </w:r>
      <w:r>
        <w:rPr>
          <w:rFonts w:hint="eastAsia"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（十四）公务用车购置：填列单位公务用车车辆购置支出（含车辆购置税）。</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（十五）其他交通工具购置：填列单位除公务用车外的其他各类交通工具（如船舶、飞机）购置支出（含车辆购置税）。</w:t>
      </w:r>
    </w:p>
    <w:p>
      <w:pPr>
        <w:widowControl/>
        <w:shd w:val="clear" w:color="auto" w:fill="FFFFFF"/>
        <w:adjustRightInd w:val="0"/>
        <w:snapToGrid w:val="0"/>
        <w:spacing w:line="540" w:lineRule="exact"/>
        <w:ind w:firstLine="640" w:firstLineChars="200"/>
        <w:jc w:val="left"/>
        <w:rPr>
          <w:rFonts w:hAnsi="宋体" w:eastAsia="仿宋_GB2312" w:cs="宋体"/>
          <w:color w:val="000000"/>
          <w:kern w:val="0"/>
          <w:sz w:val="32"/>
          <w:szCs w:val="32"/>
        </w:rPr>
      </w:pPr>
      <w:r>
        <w:rPr>
          <w:rFonts w:hint="eastAsia" w:hAnsi="宋体" w:eastAsia="仿宋_GB2312" w:cs="宋体"/>
          <w:color w:val="000000"/>
          <w:kern w:val="0"/>
          <w:sz w:val="32"/>
          <w:szCs w:val="32"/>
        </w:rPr>
        <w:t>（十六）</w:t>
      </w:r>
      <w:r>
        <w:rPr>
          <w:rFonts w:eastAsia="仿宋_GB2312"/>
          <w:color w:val="000000"/>
          <w:kern w:val="0"/>
          <w:sz w:val="32"/>
          <w:szCs w:val="32"/>
        </w:rPr>
        <w:t xml:space="preserve"> </w:t>
      </w:r>
      <w:r>
        <w:rPr>
          <w:rFonts w:hint="eastAsia"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autoSpaceDE w:val="0"/>
        <w:autoSpaceDN w:val="0"/>
        <w:adjustRightInd w:val="0"/>
        <w:jc w:val="left"/>
        <w:rPr>
          <w:rFonts w:ascii="仿宋" w:hAnsi="仿宋" w:eastAsia="仿宋"/>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4E74D"/>
    <w:multiLevelType w:val="singleLevel"/>
    <w:tmpl w:val="CAA4E7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3C38"/>
    <w:rsid w:val="00046514"/>
    <w:rsid w:val="000B1BD3"/>
    <w:rsid w:val="000F605B"/>
    <w:rsid w:val="00124CB8"/>
    <w:rsid w:val="00126826"/>
    <w:rsid w:val="00126AC1"/>
    <w:rsid w:val="00132873"/>
    <w:rsid w:val="0013423F"/>
    <w:rsid w:val="00174925"/>
    <w:rsid w:val="0018297A"/>
    <w:rsid w:val="001C0B30"/>
    <w:rsid w:val="001E1413"/>
    <w:rsid w:val="00213200"/>
    <w:rsid w:val="002302A8"/>
    <w:rsid w:val="00273C38"/>
    <w:rsid w:val="002A5F9A"/>
    <w:rsid w:val="002D400B"/>
    <w:rsid w:val="002D528D"/>
    <w:rsid w:val="002F6633"/>
    <w:rsid w:val="00310714"/>
    <w:rsid w:val="00323621"/>
    <w:rsid w:val="00323BE4"/>
    <w:rsid w:val="00330096"/>
    <w:rsid w:val="0034069C"/>
    <w:rsid w:val="003430A5"/>
    <w:rsid w:val="003432FA"/>
    <w:rsid w:val="003705D2"/>
    <w:rsid w:val="003725F1"/>
    <w:rsid w:val="00377B20"/>
    <w:rsid w:val="00384624"/>
    <w:rsid w:val="003D12F9"/>
    <w:rsid w:val="003D1BB4"/>
    <w:rsid w:val="003E7DEF"/>
    <w:rsid w:val="004013E9"/>
    <w:rsid w:val="00407A6C"/>
    <w:rsid w:val="004509CD"/>
    <w:rsid w:val="00467773"/>
    <w:rsid w:val="004916AF"/>
    <w:rsid w:val="004A5766"/>
    <w:rsid w:val="004F5E09"/>
    <w:rsid w:val="00540FD0"/>
    <w:rsid w:val="00541858"/>
    <w:rsid w:val="00562477"/>
    <w:rsid w:val="005651B7"/>
    <w:rsid w:val="005A0B46"/>
    <w:rsid w:val="005C4A75"/>
    <w:rsid w:val="00667780"/>
    <w:rsid w:val="00670EAF"/>
    <w:rsid w:val="00695816"/>
    <w:rsid w:val="006A0E4C"/>
    <w:rsid w:val="006A63A7"/>
    <w:rsid w:val="006A66B8"/>
    <w:rsid w:val="00727F11"/>
    <w:rsid w:val="007B6437"/>
    <w:rsid w:val="007C1BE2"/>
    <w:rsid w:val="007E296D"/>
    <w:rsid w:val="007F77C2"/>
    <w:rsid w:val="00800387"/>
    <w:rsid w:val="00831962"/>
    <w:rsid w:val="0086775A"/>
    <w:rsid w:val="008A4C26"/>
    <w:rsid w:val="008F6E41"/>
    <w:rsid w:val="009029FC"/>
    <w:rsid w:val="00905426"/>
    <w:rsid w:val="00917F9A"/>
    <w:rsid w:val="00927A03"/>
    <w:rsid w:val="009340AF"/>
    <w:rsid w:val="0096187B"/>
    <w:rsid w:val="00961DB0"/>
    <w:rsid w:val="00984867"/>
    <w:rsid w:val="00985CA2"/>
    <w:rsid w:val="009D24A9"/>
    <w:rsid w:val="00A34BCC"/>
    <w:rsid w:val="00A45754"/>
    <w:rsid w:val="00A52E3C"/>
    <w:rsid w:val="00A62CA7"/>
    <w:rsid w:val="00AA1871"/>
    <w:rsid w:val="00AA2E37"/>
    <w:rsid w:val="00AA57A9"/>
    <w:rsid w:val="00AB196C"/>
    <w:rsid w:val="00AD0E6B"/>
    <w:rsid w:val="00AF457C"/>
    <w:rsid w:val="00B1359F"/>
    <w:rsid w:val="00B367F5"/>
    <w:rsid w:val="00B96FBB"/>
    <w:rsid w:val="00BA658E"/>
    <w:rsid w:val="00BB2D2C"/>
    <w:rsid w:val="00BD4258"/>
    <w:rsid w:val="00C0411C"/>
    <w:rsid w:val="00C126C8"/>
    <w:rsid w:val="00C72329"/>
    <w:rsid w:val="00C73D29"/>
    <w:rsid w:val="00C75722"/>
    <w:rsid w:val="00CC2278"/>
    <w:rsid w:val="00CD6183"/>
    <w:rsid w:val="00CF374E"/>
    <w:rsid w:val="00D247AE"/>
    <w:rsid w:val="00D62D55"/>
    <w:rsid w:val="00D90110"/>
    <w:rsid w:val="00DA0B2D"/>
    <w:rsid w:val="00DB2CE0"/>
    <w:rsid w:val="00DD3FE5"/>
    <w:rsid w:val="00DE297E"/>
    <w:rsid w:val="00E0366E"/>
    <w:rsid w:val="00E11623"/>
    <w:rsid w:val="00E12402"/>
    <w:rsid w:val="00E13709"/>
    <w:rsid w:val="00E1683E"/>
    <w:rsid w:val="00E217E3"/>
    <w:rsid w:val="00E567AE"/>
    <w:rsid w:val="00E865A4"/>
    <w:rsid w:val="00E97DC8"/>
    <w:rsid w:val="00EA4FD0"/>
    <w:rsid w:val="00EC09C6"/>
    <w:rsid w:val="00F226B0"/>
    <w:rsid w:val="00F26D2F"/>
    <w:rsid w:val="00F37D21"/>
    <w:rsid w:val="00F5730F"/>
    <w:rsid w:val="00F60DDE"/>
    <w:rsid w:val="00F61A9B"/>
    <w:rsid w:val="00F81885"/>
    <w:rsid w:val="00F856E8"/>
    <w:rsid w:val="00FA2D76"/>
    <w:rsid w:val="00FA484A"/>
    <w:rsid w:val="00FB2029"/>
    <w:rsid w:val="00FE06AC"/>
    <w:rsid w:val="00FE3EF8"/>
    <w:rsid w:val="48C3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2 Char"/>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11</Pages>
  <Words>796</Words>
  <Characters>4541</Characters>
  <Lines>37</Lines>
  <Paragraphs>10</Paragraphs>
  <TotalTime>945</TotalTime>
  <ScaleCrop>false</ScaleCrop>
  <LinksUpToDate>false</LinksUpToDate>
  <CharactersWithSpaces>5327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2017-10-25T02:09:00Z</dcterms:created>
  <dc:creator>CJ</dc:creator>
  <cp:lastModifiedBy>宣传</cp:lastModifiedBy>
  <dcterms:modified xsi:type="dcterms:W3CDTF">2023-12-29T01:15:53Z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D35D58C9529F4AD482E6F4D92D4E83CB</vt:lpwstr>
  </property>
</Properties>
</file>